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Interrogata Fabulae Persei ex pagina novem </w:t>
      </w:r>
      <w:r>
        <w:rPr>
          <w:b w:val="0"/>
          <w:bCs w:val="0"/>
          <w:rtl w:val="0"/>
          <w:lang w:val="en-US"/>
        </w:rPr>
        <w:t>(questions from Fabula Persei from page 9)</w:t>
      </w:r>
    </w:p>
    <w:p>
      <w:pPr>
        <w:pStyle w:val="Body"/>
        <w:jc w:val="center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Pagina 9: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Quid feminis Perseus narrat?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Cur Perseus nunc iratus est?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 xml:space="preserve">Ubi feminae Perseo dicunt,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non tibi narramus ubi Hesperia est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  <w:r>
        <w:rPr>
          <w:b w:val="0"/>
          <w:bCs w:val="0"/>
          <w:rtl w:val="0"/>
          <w:lang w:val="en-US"/>
        </w:rPr>
        <w:t>, quid facit Perseus?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>Sine oculo, quid feminae non facere possunt?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 xml:space="preserve">Quid feminae Perseo dicunt, postquam Perseus oculum capit?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